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10" w:rsidRPr="007E0B3F" w:rsidRDefault="006A6910" w:rsidP="006A6910">
      <w:pPr>
        <w:spacing w:before="240"/>
        <w:jc w:val="center"/>
        <w:rPr>
          <w:rFonts w:ascii="Times New Roman" w:hAnsi="Times New Roman" w:cs="Times New Roman"/>
          <w:b/>
          <w:szCs w:val="28"/>
          <w:lang w:val="kk-KZ"/>
        </w:rPr>
      </w:pPr>
      <w:r w:rsidRPr="007E0B3F">
        <w:rPr>
          <w:rFonts w:ascii="Times New Roman" w:hAnsi="Times New Roman" w:cs="Times New Roman"/>
          <w:b/>
          <w:szCs w:val="28"/>
          <w:lang w:val="kk-KZ"/>
        </w:rPr>
        <w:t>Құрметті ата-аналар !</w:t>
      </w:r>
    </w:p>
    <w:p w:rsidR="006A6910" w:rsidRPr="007E0B3F" w:rsidRDefault="006A6910" w:rsidP="006A6910">
      <w:pPr>
        <w:spacing w:after="0" w:line="240" w:lineRule="auto"/>
        <w:jc w:val="center"/>
        <w:rPr>
          <w:rFonts w:ascii="Times New Roman" w:hAnsi="Times New Roman" w:cs="Times New Roman"/>
          <w:b/>
          <w:i/>
          <w:szCs w:val="28"/>
          <w:lang w:val="kk-KZ"/>
        </w:rPr>
      </w:pPr>
      <w:r w:rsidRPr="007E0B3F">
        <w:rPr>
          <w:rFonts w:ascii="Times New Roman" w:hAnsi="Times New Roman" w:cs="Times New Roman"/>
          <w:b/>
          <w:i/>
          <w:szCs w:val="28"/>
          <w:lang w:val="kk-KZ"/>
        </w:rPr>
        <w:t xml:space="preserve">Сіздің балаңыз мектепке дейінгі мекемеге бармаса  </w:t>
      </w:r>
    </w:p>
    <w:p w:rsidR="006A6910" w:rsidRPr="007E0B3F" w:rsidRDefault="006A6910" w:rsidP="006A6910">
      <w:pPr>
        <w:spacing w:after="0" w:line="240" w:lineRule="auto"/>
        <w:jc w:val="center"/>
        <w:rPr>
          <w:rFonts w:ascii="Times New Roman" w:hAnsi="Times New Roman" w:cs="Times New Roman"/>
          <w:b/>
          <w:i/>
          <w:szCs w:val="28"/>
          <w:lang w:val="kk-KZ"/>
        </w:rPr>
      </w:pPr>
      <w:r w:rsidRPr="007E0B3F">
        <w:rPr>
          <w:rFonts w:ascii="Times New Roman" w:hAnsi="Times New Roman" w:cs="Times New Roman"/>
          <w:b/>
          <w:i/>
          <w:szCs w:val="28"/>
          <w:lang w:val="kk-KZ"/>
        </w:rPr>
        <w:t xml:space="preserve">бұл ақпарат сіздер үшін </w:t>
      </w:r>
    </w:p>
    <w:p w:rsidR="006A6910" w:rsidRPr="007E0B3F" w:rsidRDefault="006A6910" w:rsidP="006A6910">
      <w:pPr>
        <w:spacing w:before="240" w:after="0" w:line="240" w:lineRule="auto"/>
        <w:rPr>
          <w:rFonts w:ascii="Times New Roman" w:hAnsi="Times New Roman" w:cs="Times New Roman"/>
          <w:szCs w:val="28"/>
          <w:lang w:val="kk-KZ"/>
        </w:rPr>
      </w:pPr>
      <w:r w:rsidRPr="007E0B3F">
        <w:rPr>
          <w:rFonts w:ascii="Times New Roman" w:hAnsi="Times New Roman" w:cs="Times New Roman"/>
          <w:szCs w:val="28"/>
          <w:lang w:val="kk-KZ"/>
        </w:rPr>
        <w:t xml:space="preserve">Біздің бөбекжай-бақшасының негізінде  әдейі сіздерге  арналған консультация беру орталығы жұмыс істеуде.Сонымен қатар, ерекше білім қажет ететін балалар үшін логопункт жұмыс жасайды .Сіз ол жерден тәжірибелі меңгерушіден, психологтан,немесе тәрбиешілерден тегін кеңес әрі көмек алуыңызға болады. Сізге тәжірибелі педагогтар, логопед-мұғалімдер,музыка жетекшілері, дене шынықтыру нұсқаушысы ,жоғары санатты мамандар тәрбие мен білім беру, баланы сауықтыру және тілін дамыту жөнінде кеңес береді. </w:t>
      </w:r>
    </w:p>
    <w:p w:rsidR="006A6910" w:rsidRPr="007E0B3F" w:rsidRDefault="006A6910" w:rsidP="006A6910">
      <w:pPr>
        <w:spacing w:before="240" w:after="0" w:line="240" w:lineRule="auto"/>
        <w:jc w:val="center"/>
        <w:rPr>
          <w:rFonts w:ascii="Times New Roman" w:hAnsi="Times New Roman" w:cs="Times New Roman"/>
          <w:b/>
          <w:i/>
          <w:szCs w:val="28"/>
          <w:lang w:val="kk-KZ"/>
        </w:rPr>
      </w:pPr>
      <w:r w:rsidRPr="007E0B3F">
        <w:rPr>
          <w:rFonts w:ascii="Times New Roman" w:hAnsi="Times New Roman" w:cs="Times New Roman"/>
          <w:b/>
          <w:i/>
          <w:szCs w:val="28"/>
          <w:lang w:val="kk-KZ"/>
        </w:rPr>
        <w:t>Консультация беру орталығы жайында ақпарат</w:t>
      </w:r>
    </w:p>
    <w:tbl>
      <w:tblPr>
        <w:tblStyle w:val="a3"/>
        <w:tblW w:w="0" w:type="auto"/>
        <w:tblInd w:w="-601" w:type="dxa"/>
        <w:tblLook w:val="04A0" w:firstRow="1" w:lastRow="0" w:firstColumn="1" w:lastColumn="0" w:noHBand="0" w:noVBand="1"/>
      </w:tblPr>
      <w:tblGrid>
        <w:gridCol w:w="2552"/>
        <w:gridCol w:w="7902"/>
      </w:tblGrid>
      <w:tr w:rsidR="006A6910" w:rsidRPr="007E0B3F" w:rsidTr="00A86898">
        <w:trPr>
          <w:trHeight w:val="1044"/>
        </w:trPr>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Мектепке дейінгі ұйым атауы</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 xml:space="preserve">«Қостанай қаласы әкімдігінің Қостанай қаласы әкімдігінің білім бөлімінің № 11 бөбекжай-бақшасы» мемлекеттік коммуналдық қазыналық кәсіпорны </w:t>
            </w:r>
          </w:p>
        </w:tc>
      </w:tr>
      <w:tr w:rsidR="006A6910" w:rsidRPr="007E0B3F" w:rsidTr="00A86898">
        <w:trPr>
          <w:trHeight w:val="253"/>
        </w:trPr>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Мекен жайы</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Қостанай қаласы ,7 шағын ауданы, 14 а  үй</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 xml:space="preserve">Қатынас телефоны </w:t>
            </w:r>
          </w:p>
        </w:tc>
        <w:tc>
          <w:tcPr>
            <w:tcW w:w="7902" w:type="dxa"/>
          </w:tcPr>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8(714)2227450</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8(714)2226654</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 xml:space="preserve">Директор </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 xml:space="preserve">Мажит Гүлсім Уалиханқызы </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 xml:space="preserve">Жұмыс кестесі </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 xml:space="preserve">Консультациялық пункт МДҰ-да бекітілген  кесте                  бойынша жұмыс атқарады </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 xml:space="preserve">Жұмыс формалары </w:t>
            </w:r>
          </w:p>
        </w:tc>
        <w:tc>
          <w:tcPr>
            <w:tcW w:w="7902" w:type="dxa"/>
          </w:tcPr>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Ата-аналарға ,баланың заңды өкілдеріне (жеке,топпен) консультация беру.                                                                                      Ерте жас -1 жастан 2 жасқа дейін (ерте жас тобы );</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Кіші жас – 2 жастан 3 жасқа дейін ( кіші топ);</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Мектепке дейінгі орта жас -3 жастан 4 жасқа дейін (ортаңғы топ )</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Мектепке дейінгі ересектер жас -4 жастан 5 жасқа дейін</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(мектепке дейінгі ұйымдағы ересек топ)</w:t>
            </w:r>
          </w:p>
          <w:p w:rsidR="006A6910" w:rsidRPr="007E0B3F" w:rsidRDefault="006A6910" w:rsidP="00A86898">
            <w:pPr>
              <w:rPr>
                <w:rFonts w:ascii="Times New Roman" w:hAnsi="Times New Roman" w:cs="Times New Roman"/>
                <w:szCs w:val="28"/>
                <w:lang w:val="kk-KZ"/>
              </w:rPr>
            </w:pPr>
            <w:r w:rsidRPr="007E0B3F">
              <w:rPr>
                <w:rFonts w:ascii="Times New Roman" w:hAnsi="Times New Roman" w:cs="Times New Roman"/>
                <w:szCs w:val="28"/>
                <w:lang w:val="kk-KZ"/>
              </w:rPr>
              <w:t>5 жастан 6 жасқа дейін- мектепалды  даярлық тобы  (мектепке дейінгі ұйымда)</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 xml:space="preserve">Консультация беру тәртібі </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Ата-аналарды алдын –ала құрылған жоспар бойынша қабылдау</w:t>
            </w:r>
          </w:p>
        </w:tc>
      </w:tr>
      <w:tr w:rsidR="006A6910" w:rsidRPr="007E0B3F" w:rsidTr="00A86898">
        <w:tc>
          <w:tcPr>
            <w:tcW w:w="2552" w:type="dxa"/>
          </w:tcPr>
          <w:p w:rsidR="006A6910" w:rsidRPr="007E0B3F" w:rsidRDefault="006A6910" w:rsidP="00A86898">
            <w:pPr>
              <w:spacing w:before="240"/>
              <w:rPr>
                <w:rFonts w:ascii="Times New Roman" w:hAnsi="Times New Roman" w:cs="Times New Roman"/>
                <w:b/>
                <w:szCs w:val="28"/>
                <w:lang w:val="kk-KZ"/>
              </w:rPr>
            </w:pPr>
            <w:r w:rsidRPr="007E0B3F">
              <w:rPr>
                <w:rFonts w:ascii="Times New Roman" w:hAnsi="Times New Roman" w:cs="Times New Roman"/>
                <w:b/>
                <w:szCs w:val="28"/>
                <w:lang w:val="kk-KZ"/>
              </w:rPr>
              <w:t>Бір консультацияға  бөлінетін уақыт</w:t>
            </w:r>
          </w:p>
        </w:tc>
        <w:tc>
          <w:tcPr>
            <w:tcW w:w="7902" w:type="dxa"/>
          </w:tcPr>
          <w:p w:rsidR="006A6910" w:rsidRPr="007E0B3F" w:rsidRDefault="006A6910" w:rsidP="00A86898">
            <w:pPr>
              <w:spacing w:before="240"/>
              <w:rPr>
                <w:rFonts w:ascii="Times New Roman" w:hAnsi="Times New Roman" w:cs="Times New Roman"/>
                <w:szCs w:val="28"/>
                <w:lang w:val="kk-KZ"/>
              </w:rPr>
            </w:pPr>
            <w:r w:rsidRPr="007E0B3F">
              <w:rPr>
                <w:rFonts w:ascii="Times New Roman" w:hAnsi="Times New Roman" w:cs="Times New Roman"/>
                <w:szCs w:val="28"/>
                <w:lang w:val="kk-KZ"/>
              </w:rPr>
              <w:t>20 минут</w:t>
            </w:r>
          </w:p>
        </w:tc>
      </w:tr>
    </w:tbl>
    <w:p w:rsidR="006A6910" w:rsidRPr="007E0B3F" w:rsidRDefault="006A6910" w:rsidP="006A6910">
      <w:pPr>
        <w:spacing w:before="240" w:after="0" w:line="240" w:lineRule="auto"/>
        <w:rPr>
          <w:rFonts w:ascii="Times New Roman" w:hAnsi="Times New Roman" w:cs="Times New Roman"/>
          <w:szCs w:val="28"/>
          <w:lang w:val="kk-KZ"/>
        </w:rPr>
      </w:pPr>
      <w:r w:rsidRPr="007E0B3F">
        <w:rPr>
          <w:rFonts w:ascii="Times New Roman" w:hAnsi="Times New Roman" w:cs="Times New Roman"/>
          <w:szCs w:val="28"/>
          <w:lang w:val="kk-KZ"/>
        </w:rPr>
        <w:t>Біздің консультациялық пункт көмекті тегін береді.</w:t>
      </w:r>
    </w:p>
    <w:p w:rsidR="006A6910" w:rsidRPr="007E0B3F" w:rsidRDefault="006A6910" w:rsidP="006A6910">
      <w:pPr>
        <w:pStyle w:val="a4"/>
        <w:tabs>
          <w:tab w:val="left" w:pos="284"/>
          <w:tab w:val="left" w:pos="993"/>
          <w:tab w:val="left" w:pos="1276"/>
        </w:tabs>
        <w:suppressAutoHyphens/>
        <w:spacing w:after="0" w:line="240" w:lineRule="auto"/>
        <w:ind w:left="-567" w:right="-1" w:firstLine="567"/>
        <w:jc w:val="both"/>
        <w:rPr>
          <w:rFonts w:ascii="Times New Roman" w:hAnsi="Times New Roman"/>
          <w:szCs w:val="24"/>
          <w:lang w:val="kk-KZ"/>
        </w:rPr>
      </w:pPr>
      <w:r w:rsidRPr="007E0B3F">
        <w:rPr>
          <w:rFonts w:ascii="Times New Roman" w:hAnsi="Times New Roman" w:cs="Times New Roman"/>
          <w:szCs w:val="28"/>
          <w:lang w:val="kk-KZ"/>
        </w:rPr>
        <w:t>Біз сіздің сұрақтарыңызға жауап береміз, өзіңіздің педагогикалық тәжірибеңізді байытуға көмектесеміз,қажетті психологиялық-педагогикалық әдебиеттермен қамтамасыз етіп кеңес береміз, түрлі түзету мен дамытушылық технологияларды  үйретеміз. Сонымен бірге сіздің балаңызбен таныса отырып, балаңызға қажетті білім бағыты мен тәрбие және оқыту бағдарламаларының қалауы бойынша кепілдемелер береміз.</w:t>
      </w:r>
      <w:r w:rsidRPr="007E0B3F">
        <w:rPr>
          <w:rFonts w:ascii="Times New Roman" w:hAnsi="Times New Roman"/>
          <w:szCs w:val="24"/>
          <w:lang w:val="kk-KZ"/>
        </w:rPr>
        <w:t xml:space="preserve"> Мектепке дейінгі ұйымдарда білім беру процесі Мектепке дейінгі тәрбие мен оқытудың жалпыға міндетті мемлекеттік стандартына (2018 жылғы 31 қазандағы №604  ҚРҮҚ), Қазақстан Республикасы Үкіметінің 2016ж 13мамыр №292қаулысына, </w:t>
      </w:r>
      <w:r w:rsidRPr="007E0B3F">
        <w:rPr>
          <w:rFonts w:ascii="Times New Roman" w:hAnsi="Times New Roman"/>
          <w:bCs/>
          <w:szCs w:val="24"/>
          <w:lang w:val="kk-KZ"/>
        </w:rPr>
        <w:t>Мектепке дейінгі тәрбие мен оқытудың үлгілік оқу бағдарламасына (бұдан әрі –Үлгілік бағдарлама) (ҚР БҒМ 2016 жылғы 12 тамыздағы №499 бұйрығы), Мектепке дейінгі тәрбие мен оқытудың үлгілік оқу жоспарына</w:t>
      </w:r>
      <w:r w:rsidRPr="007E0B3F">
        <w:rPr>
          <w:rFonts w:ascii="Times New Roman" w:hAnsi="Times New Roman"/>
          <w:szCs w:val="24"/>
          <w:lang w:val="kk-KZ"/>
        </w:rPr>
        <w:t xml:space="preserve"> (ҚР БҒМ 2016 жылғы 22 маусымдағы №391 бұйрығына 1 қосымша).</w:t>
      </w:r>
      <w:r w:rsidRPr="007E0B3F">
        <w:rPr>
          <w:szCs w:val="24"/>
          <w:lang w:val="kk-KZ"/>
        </w:rPr>
        <w:t xml:space="preserve"> </w:t>
      </w:r>
      <w:r w:rsidRPr="007E0B3F">
        <w:rPr>
          <w:rFonts w:ascii="Times New Roman" w:hAnsi="Times New Roman"/>
          <w:szCs w:val="24"/>
          <w:lang w:val="kk-KZ"/>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м.а. 2013 жылғы 27 қыркүйектегі № 400 бұйрығы); Мектепке дейінгі ұйымдарға және сәбилер үйлеріне қойылатын санитариялық-эпидемиологиялық талаптар» санитариялық қағидаларына (Қазақстан Республикасы денсаулық сақтау министрінің 2017 жылғы 17 тамыздағы №615 бұйрығы);</w:t>
      </w:r>
      <w:r w:rsidRPr="007E0B3F">
        <w:rPr>
          <w:szCs w:val="24"/>
          <w:lang w:val="kk-KZ"/>
        </w:rPr>
        <w:t xml:space="preserve"> </w:t>
      </w:r>
      <w:r w:rsidRPr="007E0B3F">
        <w:rPr>
          <w:rFonts w:ascii="Times New Roman" w:hAnsi="Times New Roman"/>
          <w:szCs w:val="24"/>
          <w:lang w:val="kk-KZ"/>
        </w:rPr>
        <w:t>Мектепке дейінгі тәрбие мен оқытудың үлгілік оқу бағдарламасына әдістемелік нұсқаул   (бұдан әрі –Нұсқаулық) сәйкес ұйымдастырылады.</w:t>
      </w:r>
    </w:p>
    <w:p w:rsidR="00EB52AD" w:rsidRPr="006A6910" w:rsidRDefault="00EB52AD">
      <w:pPr>
        <w:rPr>
          <w:lang w:val="kk-KZ"/>
        </w:rPr>
      </w:pPr>
      <w:bookmarkStart w:id="0" w:name="_GoBack"/>
      <w:bookmarkEnd w:id="0"/>
    </w:p>
    <w:sectPr w:rsidR="00EB52AD" w:rsidRPr="006A6910" w:rsidSect="00857165">
      <w:pgSz w:w="11906" w:h="16838"/>
      <w:pgMar w:top="284" w:right="851"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1A"/>
    <w:rsid w:val="00366B77"/>
    <w:rsid w:val="0053711A"/>
    <w:rsid w:val="006A6910"/>
    <w:rsid w:val="00D11657"/>
    <w:rsid w:val="00EB5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6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6A6910"/>
    <w:pPr>
      <w:ind w:left="720"/>
      <w:contextualSpacing/>
    </w:pPr>
    <w:rPr>
      <w:rFonts w:eastAsiaTheme="minorEastAsia"/>
      <w:lang w:eastAsia="ru-RU"/>
    </w:rPr>
  </w:style>
  <w:style w:type="character" w:customStyle="1" w:styleId="a5">
    <w:name w:val="Абзац списка Знак"/>
    <w:aliases w:val="2 список маркированный Знак"/>
    <w:link w:val="a4"/>
    <w:uiPriority w:val="34"/>
    <w:locked/>
    <w:rsid w:val="006A691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6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6A6910"/>
    <w:pPr>
      <w:ind w:left="720"/>
      <w:contextualSpacing/>
    </w:pPr>
    <w:rPr>
      <w:rFonts w:eastAsiaTheme="minorEastAsia"/>
      <w:lang w:eastAsia="ru-RU"/>
    </w:rPr>
  </w:style>
  <w:style w:type="character" w:customStyle="1" w:styleId="a5">
    <w:name w:val="Абзац списка Знак"/>
    <w:aliases w:val="2 список маркированный Знак"/>
    <w:link w:val="a4"/>
    <w:uiPriority w:val="34"/>
    <w:locked/>
    <w:rsid w:val="006A691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2752</Characters>
  <Application>Microsoft Office Word</Application>
  <DocSecurity>0</DocSecurity>
  <Lines>22</Lines>
  <Paragraphs>6</Paragraphs>
  <ScaleCrop>false</ScaleCrop>
  <Company>SPecialiST RePack</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2020-01-29T11:21:00Z</dcterms:created>
  <dcterms:modified xsi:type="dcterms:W3CDTF">2020-01-29T11:21:00Z</dcterms:modified>
</cp:coreProperties>
</file>